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02074F" w:rsidRPr="00E03331" w:rsidRDefault="00A44B52" w:rsidP="0002074F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03.09.2019            </w:t>
      </w:r>
      <w:r w:rsidR="00595A07">
        <w:rPr>
          <w:color w:val="000000"/>
          <w:sz w:val="28"/>
          <w:szCs w:val="28"/>
        </w:rPr>
        <w:t>59</w:t>
      </w:r>
    </w:p>
    <w:p w:rsidR="0002074F" w:rsidRPr="00E03331" w:rsidRDefault="0002074F" w:rsidP="0002074F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</w:p>
    <w:p w:rsidR="0002074F" w:rsidRPr="00E03331" w:rsidRDefault="0002074F" w:rsidP="0002074F">
      <w:pPr>
        <w:jc w:val="both"/>
        <w:rPr>
          <w:sz w:val="28"/>
          <w:szCs w:val="28"/>
        </w:rPr>
      </w:pPr>
      <w:r w:rsidRPr="00E03331">
        <w:rPr>
          <w:sz w:val="28"/>
          <w:szCs w:val="28"/>
        </w:rPr>
        <w:tab/>
        <w:t>О внесении изменений в Положение «Об установлении налога на имущество физических лиц»</w:t>
      </w:r>
      <w:r w:rsidR="00595A07">
        <w:rPr>
          <w:sz w:val="28"/>
          <w:szCs w:val="28"/>
        </w:rPr>
        <w:t>,</w:t>
      </w:r>
      <w:r w:rsidRPr="00E03331">
        <w:rPr>
          <w:sz w:val="28"/>
          <w:szCs w:val="28"/>
        </w:rPr>
        <w:t xml:space="preserve"> утвержденное решением Совета депутатов </w:t>
      </w:r>
      <w:r w:rsidR="00595A07">
        <w:rPr>
          <w:sz w:val="28"/>
          <w:szCs w:val="28"/>
        </w:rPr>
        <w:t xml:space="preserve">Среднеургальского </w:t>
      </w:r>
      <w:r w:rsidRPr="00E03331">
        <w:rPr>
          <w:sz w:val="28"/>
          <w:szCs w:val="28"/>
        </w:rPr>
        <w:t>сельского поселе</w:t>
      </w:r>
      <w:r w:rsidR="00595A07">
        <w:rPr>
          <w:sz w:val="28"/>
          <w:szCs w:val="28"/>
        </w:rPr>
        <w:t xml:space="preserve">ния </w:t>
      </w:r>
      <w:r w:rsidRPr="00E03331">
        <w:rPr>
          <w:sz w:val="28"/>
          <w:szCs w:val="28"/>
        </w:rPr>
        <w:t xml:space="preserve"> Верхнебуреинского муниципального района Хабар</w:t>
      </w:r>
      <w:r w:rsidR="00595A07">
        <w:rPr>
          <w:sz w:val="28"/>
          <w:szCs w:val="28"/>
        </w:rPr>
        <w:t>овского края от 28.10.2014г № 58</w:t>
      </w:r>
      <w:r w:rsidRPr="00E03331">
        <w:rPr>
          <w:sz w:val="28"/>
          <w:szCs w:val="28"/>
        </w:rPr>
        <w:t xml:space="preserve"> «Об установлении</w:t>
      </w:r>
      <w:r w:rsidR="00595A07">
        <w:rPr>
          <w:sz w:val="28"/>
          <w:szCs w:val="28"/>
        </w:rPr>
        <w:t xml:space="preserve"> </w:t>
      </w:r>
      <w:r w:rsidRPr="00E03331">
        <w:rPr>
          <w:sz w:val="28"/>
          <w:szCs w:val="28"/>
        </w:rPr>
        <w:t xml:space="preserve"> налога на </w:t>
      </w:r>
      <w:r w:rsidR="00595A07">
        <w:rPr>
          <w:sz w:val="28"/>
          <w:szCs w:val="28"/>
        </w:rPr>
        <w:t xml:space="preserve">имущество физических лиц на </w:t>
      </w:r>
      <w:r w:rsidRPr="00E03331">
        <w:rPr>
          <w:sz w:val="28"/>
          <w:szCs w:val="28"/>
        </w:rPr>
        <w:t>территории</w:t>
      </w:r>
      <w:r w:rsidR="00595A07">
        <w:rPr>
          <w:sz w:val="28"/>
          <w:szCs w:val="28"/>
        </w:rPr>
        <w:t xml:space="preserve"> Среднеургальского </w:t>
      </w:r>
      <w:r w:rsidRPr="00E03331">
        <w:rPr>
          <w:sz w:val="28"/>
          <w:szCs w:val="28"/>
        </w:rPr>
        <w:t xml:space="preserve"> сельского поселения Верхнебуреинского муниципального района»</w:t>
      </w:r>
    </w:p>
    <w:p w:rsidR="0002074F" w:rsidRPr="00E03331" w:rsidRDefault="0002074F" w:rsidP="0002074F">
      <w:pPr>
        <w:jc w:val="both"/>
        <w:rPr>
          <w:color w:val="000000"/>
          <w:sz w:val="28"/>
          <w:szCs w:val="28"/>
        </w:rPr>
      </w:pPr>
      <w:r w:rsidRPr="00E03331">
        <w:rPr>
          <w:sz w:val="28"/>
          <w:szCs w:val="28"/>
        </w:rPr>
        <w:tab/>
        <w:t xml:space="preserve">В целях приведения </w:t>
      </w:r>
      <w:proofErr w:type="gramStart"/>
      <w:r w:rsidRPr="00E03331">
        <w:rPr>
          <w:sz w:val="28"/>
          <w:szCs w:val="28"/>
        </w:rPr>
        <w:t>нормативной</w:t>
      </w:r>
      <w:proofErr w:type="gramEnd"/>
      <w:r w:rsidRPr="00E03331">
        <w:rPr>
          <w:sz w:val="28"/>
          <w:szCs w:val="28"/>
        </w:rPr>
        <w:t xml:space="preserve"> в соответствие с Федеральным законодательством</w:t>
      </w:r>
      <w:r w:rsidRPr="00E03331">
        <w:rPr>
          <w:color w:val="000000"/>
          <w:sz w:val="28"/>
          <w:szCs w:val="28"/>
        </w:rPr>
        <w:t xml:space="preserve"> Совет депутатов</w:t>
      </w:r>
      <w:r w:rsidR="00595A07" w:rsidRPr="00595A07">
        <w:rPr>
          <w:color w:val="000000"/>
          <w:sz w:val="28"/>
          <w:szCs w:val="28"/>
        </w:rPr>
        <w:t xml:space="preserve"> </w:t>
      </w:r>
      <w:r w:rsidR="00595A07">
        <w:rPr>
          <w:color w:val="000000"/>
          <w:sz w:val="28"/>
          <w:szCs w:val="28"/>
        </w:rPr>
        <w:t>Среднеургальского</w:t>
      </w:r>
      <w:r w:rsidRPr="00E03331">
        <w:rPr>
          <w:color w:val="000000"/>
          <w:sz w:val="28"/>
          <w:szCs w:val="28"/>
        </w:rPr>
        <w:t xml:space="preserve"> сельского</w:t>
      </w:r>
      <w:r w:rsidR="00595A07">
        <w:rPr>
          <w:color w:val="000000"/>
          <w:sz w:val="28"/>
          <w:szCs w:val="28"/>
        </w:rPr>
        <w:t xml:space="preserve"> </w:t>
      </w:r>
      <w:r w:rsidRPr="00E03331">
        <w:rPr>
          <w:color w:val="000000"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:rsidR="0002074F" w:rsidRPr="00E03331" w:rsidRDefault="0002074F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  <w:r w:rsidRPr="00E03331">
        <w:rPr>
          <w:b/>
          <w:color w:val="000000"/>
          <w:sz w:val="28"/>
          <w:szCs w:val="28"/>
        </w:rPr>
        <w:t>РЕШИЛ:</w:t>
      </w:r>
    </w:p>
    <w:p w:rsidR="0002074F" w:rsidRPr="00E03331" w:rsidRDefault="0002074F" w:rsidP="0002074F">
      <w:pPr>
        <w:jc w:val="both"/>
        <w:rPr>
          <w:sz w:val="28"/>
          <w:szCs w:val="28"/>
        </w:rPr>
      </w:pPr>
      <w:r w:rsidRPr="00E03331">
        <w:rPr>
          <w:sz w:val="28"/>
          <w:szCs w:val="28"/>
        </w:rPr>
        <w:tab/>
        <w:t xml:space="preserve">1. </w:t>
      </w:r>
      <w:proofErr w:type="gramStart"/>
      <w:r w:rsidRPr="00E03331">
        <w:rPr>
          <w:sz w:val="28"/>
          <w:szCs w:val="28"/>
        </w:rPr>
        <w:t xml:space="preserve">Внести изменения в Положение «Об установлении налога на имущество физических лиц на территории </w:t>
      </w:r>
      <w:r w:rsidR="00A44B52">
        <w:rPr>
          <w:sz w:val="28"/>
          <w:szCs w:val="28"/>
        </w:rPr>
        <w:t xml:space="preserve">Среднеургальского </w:t>
      </w:r>
      <w:r w:rsidRPr="00E03331">
        <w:rPr>
          <w:sz w:val="28"/>
          <w:szCs w:val="28"/>
        </w:rPr>
        <w:t xml:space="preserve">сельского поселения Верхнебуреинского муниципального района Хабаровского края», утвержденное решением Совета депутатов </w:t>
      </w:r>
      <w:r w:rsidR="00A44B52">
        <w:rPr>
          <w:sz w:val="28"/>
          <w:szCs w:val="28"/>
        </w:rPr>
        <w:t>Среднеургальского сельского поселения</w:t>
      </w:r>
      <w:r w:rsidRPr="00E03331">
        <w:rPr>
          <w:sz w:val="28"/>
          <w:szCs w:val="28"/>
        </w:rPr>
        <w:t xml:space="preserve"> Верхнебуреинского муниципальног</w:t>
      </w:r>
      <w:r w:rsidR="00A44B52">
        <w:rPr>
          <w:sz w:val="28"/>
          <w:szCs w:val="28"/>
        </w:rPr>
        <w:t>о района Хабаровского края от 28</w:t>
      </w:r>
      <w:r w:rsidRPr="00E03331">
        <w:rPr>
          <w:sz w:val="28"/>
          <w:szCs w:val="28"/>
        </w:rPr>
        <w:t xml:space="preserve">.10.2014г № </w:t>
      </w:r>
      <w:r w:rsidR="00A44B52">
        <w:rPr>
          <w:sz w:val="28"/>
          <w:szCs w:val="28"/>
        </w:rPr>
        <w:t xml:space="preserve">58 </w:t>
      </w:r>
      <w:r w:rsidRPr="00E03331">
        <w:rPr>
          <w:sz w:val="28"/>
          <w:szCs w:val="28"/>
        </w:rPr>
        <w:t xml:space="preserve">«Об установлении налога на </w:t>
      </w:r>
      <w:r w:rsidR="00A44B52">
        <w:rPr>
          <w:sz w:val="28"/>
          <w:szCs w:val="28"/>
        </w:rPr>
        <w:t xml:space="preserve">имущество физических лиц на </w:t>
      </w:r>
      <w:r w:rsidRPr="00E03331">
        <w:rPr>
          <w:sz w:val="28"/>
          <w:szCs w:val="28"/>
        </w:rPr>
        <w:t xml:space="preserve">территории </w:t>
      </w:r>
      <w:r w:rsidR="00A44B52">
        <w:rPr>
          <w:sz w:val="28"/>
          <w:szCs w:val="28"/>
        </w:rPr>
        <w:t xml:space="preserve">Среднеургальского </w:t>
      </w:r>
      <w:r w:rsidRPr="00E03331">
        <w:rPr>
          <w:sz w:val="28"/>
          <w:szCs w:val="28"/>
        </w:rPr>
        <w:t>сельского поселения Верхнебуреинского муниципального района» следующие изменения:</w:t>
      </w:r>
      <w:proofErr w:type="gramEnd"/>
    </w:p>
    <w:p w:rsidR="0002074F" w:rsidRPr="00E03331" w:rsidRDefault="0002074F" w:rsidP="0002074F">
      <w:pPr>
        <w:rPr>
          <w:sz w:val="28"/>
          <w:szCs w:val="28"/>
        </w:rPr>
      </w:pPr>
      <w:r w:rsidRPr="00E03331">
        <w:rPr>
          <w:sz w:val="28"/>
          <w:szCs w:val="28"/>
        </w:rPr>
        <w:tab/>
        <w:t>1.1. Статью 4 «Налоговые льготы» изложить в следующей редакции:</w:t>
      </w:r>
    </w:p>
    <w:p w:rsidR="0002074F" w:rsidRPr="00E03331" w:rsidRDefault="0002074F" w:rsidP="0002074F">
      <w:pPr>
        <w:pStyle w:val="p2"/>
        <w:ind w:firstLine="708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«4. Налоговые льготы</w:t>
      </w:r>
    </w:p>
    <w:p w:rsidR="0002074F" w:rsidRDefault="0002074F" w:rsidP="0002074F">
      <w:pPr>
        <w:pStyle w:val="p2"/>
        <w:ind w:firstLine="708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4.1. Налоговые льготы установлены в соответствии со статьей 407 НК РФ</w:t>
      </w:r>
      <w:proofErr w:type="gramStart"/>
      <w:r w:rsidRPr="00E03331">
        <w:rPr>
          <w:color w:val="000000"/>
          <w:sz w:val="28"/>
          <w:szCs w:val="28"/>
        </w:rPr>
        <w:t>.».</w:t>
      </w:r>
      <w:proofErr w:type="gramEnd"/>
    </w:p>
    <w:p w:rsidR="00A44B52" w:rsidRDefault="00A44B52" w:rsidP="00A44B52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Статью 3 «Налоговые ставки» дополнить пунктом 3.4. следующего содержания:</w:t>
      </w:r>
      <w:proofErr w:type="gramStart"/>
      <w:r w:rsidRPr="00A44B52">
        <w:rPr>
          <w:sz w:val="28"/>
          <w:szCs w:val="28"/>
        </w:rPr>
        <w:t xml:space="preserve"> </w:t>
      </w:r>
      <w:r w:rsidRPr="00E03331">
        <w:rPr>
          <w:sz w:val="28"/>
          <w:szCs w:val="28"/>
        </w:rPr>
        <w:t>.</w:t>
      </w:r>
      <w:proofErr w:type="gramEnd"/>
      <w:r w:rsidRPr="00E03331">
        <w:rPr>
          <w:color w:val="000000"/>
          <w:sz w:val="28"/>
          <w:szCs w:val="28"/>
        </w:rPr>
        <w:t xml:space="preserve"> </w:t>
      </w:r>
    </w:p>
    <w:p w:rsidR="00A44B52" w:rsidRPr="00E03331" w:rsidRDefault="00A44B52" w:rsidP="00A44B52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«3.4</w:t>
      </w:r>
      <w:r w:rsidRPr="00E03331">
        <w:rPr>
          <w:color w:val="000000"/>
          <w:sz w:val="28"/>
          <w:szCs w:val="28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налоговая база по которым </w:t>
      </w:r>
      <w:proofErr w:type="gramStart"/>
      <w:r w:rsidRPr="00E03331">
        <w:rPr>
          <w:color w:val="000000"/>
          <w:sz w:val="28"/>
          <w:szCs w:val="28"/>
        </w:rPr>
        <w:t>определяется</w:t>
      </w:r>
      <w:proofErr w:type="gramEnd"/>
      <w:r w:rsidRPr="00E03331">
        <w:rPr>
          <w:color w:val="000000"/>
          <w:sz w:val="28"/>
          <w:szCs w:val="28"/>
        </w:rPr>
        <w:t xml:space="preserve"> как их кадастровая стоимость устанавливается в размере:</w:t>
      </w:r>
    </w:p>
    <w:p w:rsidR="00A44B52" w:rsidRPr="00E03331" w:rsidRDefault="00A44B52" w:rsidP="00A44B52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lastRenderedPageBreak/>
        <w:t>1,0 процент - в 2016 году;</w:t>
      </w:r>
    </w:p>
    <w:p w:rsidR="00A44B52" w:rsidRPr="00E03331" w:rsidRDefault="00A44B52" w:rsidP="00A44B52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1,3 процента - в 2017 году;</w:t>
      </w:r>
    </w:p>
    <w:p w:rsidR="00A44B52" w:rsidRPr="00E03331" w:rsidRDefault="00A44B52" w:rsidP="00A44B52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1,6 процента - в 2018 году;</w:t>
      </w:r>
    </w:p>
    <w:p w:rsidR="00A44B52" w:rsidRDefault="00A44B52" w:rsidP="00A44B52">
      <w:pPr>
        <w:pStyle w:val="a3"/>
        <w:spacing w:after="0" w:afterAutospacing="0"/>
        <w:rPr>
          <w:sz w:val="28"/>
          <w:szCs w:val="28"/>
        </w:rPr>
      </w:pPr>
      <w:r w:rsidRPr="00E03331">
        <w:rPr>
          <w:sz w:val="28"/>
          <w:szCs w:val="28"/>
        </w:rPr>
        <w:t>2,0 процента - в 2019 году и последующие годы</w:t>
      </w:r>
      <w:r>
        <w:rPr>
          <w:sz w:val="28"/>
          <w:szCs w:val="28"/>
        </w:rPr>
        <w:t>»</w:t>
      </w:r>
      <w:r w:rsidRPr="00E03331">
        <w:rPr>
          <w:sz w:val="28"/>
          <w:szCs w:val="28"/>
        </w:rPr>
        <w:t>.</w:t>
      </w:r>
    </w:p>
    <w:p w:rsidR="0002074F" w:rsidRPr="00A44B52" w:rsidRDefault="00A44B52" w:rsidP="00A44B52">
      <w:pPr>
        <w:pStyle w:val="a3"/>
        <w:spacing w:after="0" w:afterAutospacing="0"/>
        <w:ind w:firstLine="12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2074F" w:rsidRPr="00E03331">
        <w:rPr>
          <w:sz w:val="28"/>
          <w:szCs w:val="28"/>
        </w:rPr>
        <w:t xml:space="preserve">. </w:t>
      </w:r>
      <w:proofErr w:type="gramStart"/>
      <w:r w:rsidR="0002074F" w:rsidRPr="00E03331">
        <w:rPr>
          <w:sz w:val="28"/>
          <w:szCs w:val="28"/>
        </w:rPr>
        <w:t>Контроль за</w:t>
      </w:r>
      <w:proofErr w:type="gramEnd"/>
      <w:r w:rsidR="0002074F" w:rsidRPr="00E03331">
        <w:rPr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595A07">
        <w:rPr>
          <w:sz w:val="28"/>
          <w:szCs w:val="28"/>
        </w:rPr>
        <w:t>П.С.Захарченко.</w:t>
      </w:r>
    </w:p>
    <w:p w:rsidR="0002074F" w:rsidRPr="00E03331" w:rsidRDefault="00A44B52" w:rsidP="0002074F">
      <w:pPr>
        <w:suppressAutoHyphens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74F" w:rsidRPr="00E03331">
        <w:rPr>
          <w:sz w:val="28"/>
          <w:szCs w:val="28"/>
        </w:rPr>
        <w:t>. Настоящее решение вступает в силу со дня его опубликования.</w:t>
      </w: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 xml:space="preserve">    </w:t>
      </w: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 xml:space="preserve">Глава, Председатель Совета депутатов         </w:t>
      </w:r>
      <w:r w:rsidR="00753349">
        <w:rPr>
          <w:color w:val="000000"/>
          <w:sz w:val="28"/>
          <w:szCs w:val="28"/>
        </w:rPr>
        <w:t xml:space="preserve">               </w:t>
      </w:r>
      <w:r w:rsidR="00595A07">
        <w:rPr>
          <w:color w:val="000000"/>
          <w:sz w:val="28"/>
          <w:szCs w:val="28"/>
        </w:rPr>
        <w:t xml:space="preserve">  </w:t>
      </w:r>
      <w:r w:rsidRPr="00E03331">
        <w:rPr>
          <w:color w:val="000000"/>
          <w:sz w:val="28"/>
          <w:szCs w:val="28"/>
        </w:rPr>
        <w:t xml:space="preserve"> </w:t>
      </w:r>
      <w:r w:rsidR="00595A07">
        <w:rPr>
          <w:color w:val="000000"/>
          <w:sz w:val="28"/>
          <w:szCs w:val="28"/>
        </w:rPr>
        <w:t>П.С.Захарченк</w:t>
      </w:r>
      <w:r w:rsidR="00753349">
        <w:rPr>
          <w:color w:val="000000"/>
          <w:sz w:val="28"/>
          <w:szCs w:val="28"/>
        </w:rPr>
        <w:t>о</w:t>
      </w:r>
    </w:p>
    <w:p w:rsidR="00595A07" w:rsidRDefault="00595A07" w:rsidP="0002074F">
      <w:pPr>
        <w:jc w:val="right"/>
        <w:rPr>
          <w:sz w:val="28"/>
          <w:szCs w:val="28"/>
        </w:rPr>
      </w:pPr>
    </w:p>
    <w:p w:rsidR="00595A07" w:rsidRDefault="00595A07" w:rsidP="0002074F">
      <w:pPr>
        <w:jc w:val="right"/>
        <w:rPr>
          <w:sz w:val="28"/>
          <w:szCs w:val="28"/>
        </w:rPr>
      </w:pPr>
    </w:p>
    <w:p w:rsidR="00595A07" w:rsidRDefault="00595A07" w:rsidP="0002074F">
      <w:pPr>
        <w:jc w:val="right"/>
        <w:rPr>
          <w:sz w:val="28"/>
          <w:szCs w:val="28"/>
        </w:rPr>
      </w:pPr>
    </w:p>
    <w:p w:rsidR="00595A07" w:rsidRDefault="00595A07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A44B52" w:rsidRDefault="00A44B52" w:rsidP="0002074F">
      <w:pPr>
        <w:jc w:val="right"/>
        <w:rPr>
          <w:sz w:val="28"/>
          <w:szCs w:val="28"/>
        </w:rPr>
      </w:pPr>
    </w:p>
    <w:p w:rsidR="00595A07" w:rsidRDefault="00595A07" w:rsidP="0002074F">
      <w:pPr>
        <w:jc w:val="right"/>
        <w:rPr>
          <w:sz w:val="28"/>
          <w:szCs w:val="28"/>
        </w:rPr>
      </w:pP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lastRenderedPageBreak/>
        <w:t xml:space="preserve">Приложение          </w:t>
      </w: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>к Решению Совета депутатов</w:t>
      </w:r>
    </w:p>
    <w:p w:rsidR="00595A07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                                                                                           </w:t>
      </w:r>
      <w:r w:rsidR="00595A07">
        <w:rPr>
          <w:sz w:val="28"/>
          <w:szCs w:val="28"/>
        </w:rPr>
        <w:t>Среднеургальского</w:t>
      </w: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Сельского поселения </w:t>
      </w: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2074F" w:rsidRPr="00E03331" w:rsidRDefault="00B4335F" w:rsidP="000207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24.10.2014 № 58</w:t>
      </w:r>
    </w:p>
    <w:p w:rsidR="0002074F" w:rsidRPr="00E03331" w:rsidRDefault="0002074F" w:rsidP="00B4335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                                                                                           </w:t>
      </w:r>
      <w:r w:rsidR="00B4335F">
        <w:rPr>
          <w:sz w:val="28"/>
          <w:szCs w:val="28"/>
        </w:rPr>
        <w:t>от 03.09.2019 № 59</w:t>
      </w:r>
      <w:r w:rsidRPr="00E03331">
        <w:rPr>
          <w:sz w:val="28"/>
          <w:szCs w:val="28"/>
        </w:rPr>
        <w:t xml:space="preserve"> </w:t>
      </w:r>
    </w:p>
    <w:p w:rsidR="00BB453A" w:rsidRPr="002D5277" w:rsidRDefault="00BB453A" w:rsidP="00BB45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ПОЛОЖЕНИЕ</w:t>
      </w:r>
    </w:p>
    <w:p w:rsidR="00BB453A" w:rsidRDefault="00BB453A" w:rsidP="00BB453A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налоге на имущество физических лиц  на территории Среднеургальского сельского поселения Верхнебуреинского района Хабаровского края»</w:t>
      </w:r>
    </w:p>
    <w:p w:rsidR="00BB453A" w:rsidRDefault="00BB453A" w:rsidP="00BB453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B453A" w:rsidRDefault="00BB453A" w:rsidP="00BB453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B453A" w:rsidRPr="00162C98" w:rsidRDefault="00BB453A" w:rsidP="00BB45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98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Налог на имущество физических лиц (в т.ч.: категории плательщиков, объекты налогообложения, порядок исчисления и сроки уплаты) Среднеургальского сельского поселения Верхнебуреинского района Хабаровского края устанавливается  в соответствии с пунктом 4 статьи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Times New Roman" w:hAnsi="Times New Roman"/>
            <w:sz w:val="26"/>
            <w:szCs w:val="26"/>
          </w:rPr>
          <w:t>12 части</w:t>
        </w:r>
      </w:smartTag>
      <w:r>
        <w:rPr>
          <w:rFonts w:ascii="Times New Roman" w:hAnsi="Times New Roman"/>
          <w:sz w:val="26"/>
          <w:szCs w:val="26"/>
        </w:rPr>
        <w:t xml:space="preserve"> первой и главой 32 части второй Налогового кодекса Российской Федерации (далее – главой 32) и пунктом 2 статьи 14 Федерального закона Российской Федерации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/>
            <w:sz w:val="26"/>
            <w:szCs w:val="26"/>
          </w:rPr>
          <w:t>06.10.2003</w:t>
        </w:r>
      </w:smartTag>
      <w:r>
        <w:rPr>
          <w:rFonts w:ascii="Times New Roman" w:hAnsi="Times New Roman"/>
          <w:sz w:val="26"/>
          <w:szCs w:val="26"/>
        </w:rPr>
        <w:t xml:space="preserve"> г № 131 «Об</w:t>
      </w:r>
      <w:proofErr w:type="gramEnd"/>
      <w:r>
        <w:rPr>
          <w:rFonts w:ascii="Times New Roman" w:hAnsi="Times New Roman"/>
          <w:sz w:val="26"/>
          <w:szCs w:val="26"/>
        </w:rPr>
        <w:t xml:space="preserve"> общих </w:t>
      </w:r>
      <w:proofErr w:type="gramStart"/>
      <w:r>
        <w:rPr>
          <w:rFonts w:ascii="Times New Roman" w:hAnsi="Times New Roman"/>
          <w:sz w:val="26"/>
          <w:szCs w:val="26"/>
        </w:rPr>
        <w:t>принципах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Федерации».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Настоящее положение определяет налоговые ставки, в пределах установленных главой 32, особенности определения налоговой базы в соответствии с главой 32,  особенности определения налоговой базы в соответствии с главой 32,и устанавливает налоговые льготы, основание и порядок их применения.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</w:p>
    <w:p w:rsidR="00BB453A" w:rsidRDefault="00BB453A" w:rsidP="00BB45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98">
        <w:rPr>
          <w:rFonts w:ascii="Times New Roman" w:hAnsi="Times New Roman"/>
          <w:b/>
          <w:sz w:val="26"/>
          <w:szCs w:val="26"/>
        </w:rPr>
        <w:t>2.Особенности определения налоговой базы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Налоговая база определяется в соответствии со статьей 404 главы 32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стоимости.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2.2. Налоговая база в отношении объектов налогообложения определяется исходя из их инвентаризационной стоимости в соответствии с пунктом 2 статьи 402 главы 32 до даты начала применения на территории субъекта Хабаровского края порядка определения налоговой базы исходя из кадастровой стоимости объектов налогообложения.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2.3.При наступлении даты начала применения на территории субъекта Хабаровского края порядка определения налоговой базы исходя из кадастровой стоимости объектов налогообложения, размеры налоговых вычетов устанавливаются в соответствии с пунктами 3-6 статьи 403 главы 32.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</w:p>
    <w:p w:rsidR="00BB453A" w:rsidRDefault="00BB453A" w:rsidP="00BB45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3.Налоговые ставки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3.1.При определении налоговой базы исходя из инвентаризационной стоимости, установить дифференцированные налоговые ставки на </w:t>
      </w:r>
      <w:proofErr w:type="gramStart"/>
      <w:r>
        <w:rPr>
          <w:rFonts w:ascii="Times New Roman" w:hAnsi="Times New Roman"/>
          <w:sz w:val="26"/>
          <w:szCs w:val="26"/>
        </w:rPr>
        <w:t>основе</w:t>
      </w:r>
      <w:proofErr w:type="gramEnd"/>
      <w:r>
        <w:rPr>
          <w:rFonts w:ascii="Times New Roman" w:hAnsi="Times New Roman"/>
          <w:sz w:val="26"/>
          <w:szCs w:val="26"/>
        </w:rPr>
        <w:t xml:space="preserve">  умноженной на коэффициент-дефлятор суммарной инвентаризационной стоимости налогообложения, принадлежащих на праве собственности налогоплательщику (с учетом доли налогоплательщика в праве общей </w:t>
      </w:r>
      <w:r>
        <w:rPr>
          <w:rFonts w:ascii="Times New Roman" w:hAnsi="Times New Roman"/>
          <w:sz w:val="26"/>
          <w:szCs w:val="26"/>
        </w:rPr>
        <w:lastRenderedPageBreak/>
        <w:t>собственности на каждый из таких объектов), расположенных в пределах территории Среднеургальского сельского поселения Верхнебуреинского района Хабаровского края в соответствии с пунктами 4 -5 статьи 406 главы 32.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3.2.Дифференцированные налоговые ставки установить в зависимости от суммарной инвентаризационной стоимости объектов налогообложения, принадлежащих на праве собственности с пунктом 1 статьи 401 главы 32. в следующих размерах:</w:t>
      </w:r>
    </w:p>
    <w:p w:rsidR="00BB453A" w:rsidRDefault="00BB453A" w:rsidP="00BB453A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6948"/>
        <w:gridCol w:w="2338"/>
      </w:tblGrid>
      <w:tr w:rsidR="00BB453A" w:rsidTr="00361349">
        <w:tc>
          <w:tcPr>
            <w:tcW w:w="6948" w:type="dxa"/>
          </w:tcPr>
          <w:p w:rsidR="00BB453A" w:rsidRDefault="00BB453A" w:rsidP="003613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Суммарная инвентаризационная стоимость объектов налогообложения и вид объекта  налогообложения</w:t>
            </w:r>
          </w:p>
        </w:tc>
        <w:tc>
          <w:tcPr>
            <w:tcW w:w="2338" w:type="dxa"/>
          </w:tcPr>
          <w:p w:rsidR="00BB453A" w:rsidRDefault="00BB453A" w:rsidP="003613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Ставка налога (в процентах)</w:t>
            </w:r>
          </w:p>
        </w:tc>
      </w:tr>
      <w:tr w:rsidR="00BB453A" w:rsidTr="00361349">
        <w:tc>
          <w:tcPr>
            <w:tcW w:w="694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1.Все виды имущества, признаваемого объектом налогообложения (в соответствии с п.1 ст.401 гл.32), используемого для личных целей, в т.ч.:</w:t>
            </w:r>
          </w:p>
        </w:tc>
        <w:tc>
          <w:tcPr>
            <w:tcW w:w="233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53A" w:rsidTr="00361349">
        <w:tc>
          <w:tcPr>
            <w:tcW w:w="694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300 000 рублей включительно</w:t>
            </w:r>
          </w:p>
        </w:tc>
        <w:tc>
          <w:tcPr>
            <w:tcW w:w="233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BB453A" w:rsidTr="00361349">
        <w:tc>
          <w:tcPr>
            <w:tcW w:w="694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300 000 до 500 000 рублей включительно</w:t>
            </w:r>
          </w:p>
        </w:tc>
        <w:tc>
          <w:tcPr>
            <w:tcW w:w="233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BB453A" w:rsidTr="00361349">
        <w:tc>
          <w:tcPr>
            <w:tcW w:w="694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500 000 рублей </w:t>
            </w:r>
          </w:p>
        </w:tc>
        <w:tc>
          <w:tcPr>
            <w:tcW w:w="2338" w:type="dxa"/>
          </w:tcPr>
          <w:p w:rsidR="00BB453A" w:rsidRDefault="00BB453A" w:rsidP="0036134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0,31</w:t>
            </w:r>
          </w:p>
        </w:tc>
      </w:tr>
    </w:tbl>
    <w:p w:rsidR="00BB453A" w:rsidRPr="00555844" w:rsidRDefault="00BB453A" w:rsidP="00BB453A">
      <w:pPr>
        <w:pStyle w:val="a5"/>
        <w:rPr>
          <w:rFonts w:ascii="Times New Roman" w:hAnsi="Times New Roman"/>
          <w:sz w:val="26"/>
          <w:szCs w:val="26"/>
        </w:rPr>
      </w:pPr>
    </w:p>
    <w:p w:rsidR="00753349" w:rsidRDefault="00BB453A" w:rsidP="0075334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3.3. При наступлении даты начала применения на территории субъекта Хабаровского края порядка определения налоговой базы исходя из кадастровой стоимости объектов налогообложения, установить налоговые ставки в соответствии с пунктом 2 статьи 406 главы 32 до внесения изменений в настоящее положение.</w:t>
      </w:r>
    </w:p>
    <w:p w:rsidR="00753349" w:rsidRPr="00753349" w:rsidRDefault="00753349" w:rsidP="0075334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Pr="00753349">
        <w:rPr>
          <w:rFonts w:ascii="Times New Roman" w:hAnsi="Times New Roman"/>
          <w:sz w:val="26"/>
          <w:szCs w:val="26"/>
        </w:rPr>
        <w:t xml:space="preserve">. </w:t>
      </w:r>
      <w:r w:rsidRPr="00753349">
        <w:rPr>
          <w:rFonts w:ascii="Times New Roman" w:hAnsi="Times New Roman"/>
          <w:sz w:val="28"/>
          <w:szCs w:val="28"/>
        </w:rPr>
        <w:t>.</w:t>
      </w:r>
      <w:r w:rsidRPr="00753349">
        <w:rPr>
          <w:rFonts w:ascii="Times New Roman" w:hAnsi="Times New Roman"/>
          <w:color w:val="000000"/>
          <w:sz w:val="28"/>
          <w:szCs w:val="28"/>
        </w:rPr>
        <w:t xml:space="preserve">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налоговая база по которым </w:t>
      </w:r>
      <w:proofErr w:type="gramStart"/>
      <w:r w:rsidRPr="00753349">
        <w:rPr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Pr="00753349">
        <w:rPr>
          <w:rFonts w:ascii="Times New Roman" w:hAnsi="Times New Roman"/>
          <w:color w:val="000000"/>
          <w:sz w:val="28"/>
          <w:szCs w:val="28"/>
        </w:rPr>
        <w:t xml:space="preserve"> как их кадастровая стоимость устанавливается в размере:</w:t>
      </w:r>
    </w:p>
    <w:p w:rsidR="00753349" w:rsidRPr="00E03331" w:rsidRDefault="00753349" w:rsidP="00753349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1,0 процент - в 2016 году;</w:t>
      </w:r>
    </w:p>
    <w:p w:rsidR="00753349" w:rsidRPr="00E03331" w:rsidRDefault="00753349" w:rsidP="00753349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1,3 процента - в 2017 году;</w:t>
      </w:r>
    </w:p>
    <w:p w:rsidR="00753349" w:rsidRPr="00E03331" w:rsidRDefault="00753349" w:rsidP="00753349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>1,6 процента - в 2018 году;</w:t>
      </w:r>
    </w:p>
    <w:p w:rsidR="00753349" w:rsidRPr="00E03331" w:rsidRDefault="00753349" w:rsidP="00753349">
      <w:pPr>
        <w:pStyle w:val="a3"/>
        <w:spacing w:after="0" w:afterAutospacing="0"/>
        <w:rPr>
          <w:color w:val="000000"/>
          <w:sz w:val="28"/>
          <w:szCs w:val="28"/>
        </w:rPr>
      </w:pPr>
      <w:r w:rsidRPr="00E03331">
        <w:rPr>
          <w:sz w:val="28"/>
          <w:szCs w:val="28"/>
        </w:rPr>
        <w:t>2,0 процента - в 2019 году и последующие годы.</w:t>
      </w:r>
    </w:p>
    <w:p w:rsidR="00BB453A" w:rsidRDefault="00BB453A" w:rsidP="00753349">
      <w:pPr>
        <w:pStyle w:val="a5"/>
        <w:tabs>
          <w:tab w:val="left" w:pos="971"/>
        </w:tabs>
        <w:rPr>
          <w:rFonts w:ascii="Times New Roman" w:hAnsi="Times New Roman"/>
          <w:sz w:val="26"/>
          <w:szCs w:val="26"/>
        </w:rPr>
      </w:pPr>
    </w:p>
    <w:p w:rsidR="00BB453A" w:rsidRPr="008A481F" w:rsidRDefault="00BB453A" w:rsidP="00BB45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4.Налоговые льготы</w:t>
      </w:r>
    </w:p>
    <w:p w:rsidR="00BB453A" w:rsidRPr="0090329C" w:rsidRDefault="00BB453A" w:rsidP="00BB453A">
      <w:pPr>
        <w:pStyle w:val="a5"/>
        <w:jc w:val="both"/>
        <w:rPr>
          <w:rFonts w:ascii="Times New Roman" w:hAnsi="Times New Roman"/>
          <w:sz w:val="26"/>
          <w:szCs w:val="26"/>
        </w:rPr>
        <w:sectPr w:rsidR="00BB453A" w:rsidRPr="0090329C" w:rsidSect="005F097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  <w:t>4.1. Налоговые льготы установлены в соответствии со статьей 407 НК РФ.</w:t>
      </w:r>
    </w:p>
    <w:p w:rsidR="00305758" w:rsidRDefault="00386B5A" w:rsidP="00BB453A">
      <w:pPr>
        <w:pStyle w:val="p2"/>
        <w:jc w:val="center"/>
      </w:pPr>
    </w:p>
    <w:sectPr w:rsidR="0030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74F"/>
    <w:rsid w:val="0002074F"/>
    <w:rsid w:val="001A5228"/>
    <w:rsid w:val="00386B5A"/>
    <w:rsid w:val="0049273D"/>
    <w:rsid w:val="00595A07"/>
    <w:rsid w:val="00753349"/>
    <w:rsid w:val="007561A6"/>
    <w:rsid w:val="00A44B52"/>
    <w:rsid w:val="00B4335F"/>
    <w:rsid w:val="00B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74F"/>
    <w:pPr>
      <w:spacing w:before="100" w:beforeAutospacing="1" w:after="100" w:afterAutospacing="1"/>
    </w:pPr>
  </w:style>
  <w:style w:type="paragraph" w:customStyle="1" w:styleId="p2">
    <w:name w:val="p2"/>
    <w:basedOn w:val="a"/>
    <w:rsid w:val="0002074F"/>
    <w:pPr>
      <w:spacing w:before="100" w:beforeAutospacing="1" w:after="100" w:afterAutospacing="1"/>
    </w:pPr>
  </w:style>
  <w:style w:type="table" w:styleId="a4">
    <w:name w:val="Table Grid"/>
    <w:basedOn w:val="a1"/>
    <w:rsid w:val="0002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45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2019-09-16T01:46:00Z</cp:lastPrinted>
  <dcterms:created xsi:type="dcterms:W3CDTF">2019-09-16T00:34:00Z</dcterms:created>
  <dcterms:modified xsi:type="dcterms:W3CDTF">2019-09-16T01:48:00Z</dcterms:modified>
</cp:coreProperties>
</file>