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DE" w:rsidRPr="008809BB" w:rsidRDefault="009164DE" w:rsidP="009164D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tab/>
      </w:r>
      <w:r w:rsidRPr="008809BB">
        <w:rPr>
          <w:rFonts w:ascii="Times New Roman" w:hAnsi="Times New Roman" w:cs="Times New Roman"/>
          <w:b/>
          <w:noProof/>
          <w:color w:val="404040"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DE" w:rsidRPr="008809BB" w:rsidRDefault="009164DE" w:rsidP="009164D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333333"/>
          <w:sz w:val="28"/>
          <w:szCs w:val="28"/>
        </w:rPr>
      </w:pPr>
      <w:r w:rsidRPr="008809BB">
        <w:rPr>
          <w:rFonts w:ascii="Times New Roman" w:hAnsi="Times New Roman" w:cs="Times New Roman"/>
          <w:b/>
          <w:i w:val="0"/>
          <w:color w:val="333333"/>
          <w:sz w:val="28"/>
          <w:szCs w:val="28"/>
        </w:rPr>
        <w:t>АДМИНИСТРАЦИЯ</w:t>
      </w:r>
    </w:p>
    <w:p w:rsidR="009164DE" w:rsidRPr="008809BB" w:rsidRDefault="009164DE" w:rsidP="009164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809BB">
        <w:rPr>
          <w:rFonts w:ascii="Times New Roman" w:hAnsi="Times New Roman" w:cs="Times New Roman"/>
          <w:b/>
          <w:color w:val="333333"/>
          <w:sz w:val="28"/>
          <w:szCs w:val="28"/>
        </w:rPr>
        <w:t>С</w:t>
      </w:r>
      <w:r w:rsidR="0063038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РЕДНЕУРГАЛЬСКОГО </w:t>
      </w:r>
      <w:r w:rsidRPr="008809BB">
        <w:rPr>
          <w:rFonts w:ascii="Times New Roman" w:hAnsi="Times New Roman" w:cs="Times New Roman"/>
          <w:b/>
          <w:color w:val="333333"/>
          <w:sz w:val="28"/>
          <w:szCs w:val="28"/>
        </w:rPr>
        <w:t>СЕЛЬСКОГО ПОСЕЛЕНИЯ</w:t>
      </w:r>
    </w:p>
    <w:p w:rsidR="009164DE" w:rsidRPr="008809BB" w:rsidRDefault="009164DE" w:rsidP="009164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809B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ВЕРХНЕБУРЕИНСКОГО МУНИЦИПАЛЬНОГО РАЙОНА</w:t>
      </w:r>
    </w:p>
    <w:p w:rsidR="009164DE" w:rsidRPr="008809BB" w:rsidRDefault="009164DE" w:rsidP="009164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809B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Хабаровского края</w:t>
      </w:r>
    </w:p>
    <w:p w:rsidR="009164DE" w:rsidRPr="008809BB" w:rsidRDefault="009164DE" w:rsidP="009164D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164DE" w:rsidRPr="008809BB" w:rsidRDefault="009164DE" w:rsidP="009164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809BB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</w:tblGrid>
      <w:tr w:rsidR="009164DE" w:rsidRPr="008809BB" w:rsidTr="00225281">
        <w:trPr>
          <w:trHeight w:val="53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9164DE" w:rsidRPr="008809BB" w:rsidRDefault="009164DE" w:rsidP="0022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</w:p>
          <w:p w:rsidR="009164DE" w:rsidRPr="008809BB" w:rsidRDefault="00EA7FF1" w:rsidP="0022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05</w:t>
            </w:r>
            <w:r w:rsidR="009164DE" w:rsidRPr="008809BB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.03.2021 № 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4</w:t>
            </w:r>
          </w:p>
          <w:p w:rsidR="009164DE" w:rsidRPr="008809BB" w:rsidRDefault="009164DE" w:rsidP="0022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09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Согда</w:t>
            </w:r>
          </w:p>
        </w:tc>
      </w:tr>
    </w:tbl>
    <w:p w:rsidR="009164DE" w:rsidRPr="008809BB" w:rsidRDefault="009164DE" w:rsidP="009164D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164DE" w:rsidRPr="008809BB" w:rsidRDefault="009164DE" w:rsidP="009164D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77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5"/>
      </w:tblGrid>
      <w:tr w:rsidR="009164DE" w:rsidRPr="00176FE8" w:rsidTr="00225281">
        <w:trPr>
          <w:trHeight w:val="603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9164DE" w:rsidRPr="00176FE8" w:rsidRDefault="009164DE" w:rsidP="0022528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Об утверждении </w:t>
            </w: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Порядка исполнения решения о применении бюджетных мер принуждения</w:t>
            </w:r>
          </w:p>
        </w:tc>
      </w:tr>
    </w:tbl>
    <w:p w:rsidR="009164DE" w:rsidRPr="00176FE8" w:rsidRDefault="009164DE" w:rsidP="009164DE">
      <w:pPr>
        <w:spacing w:after="0"/>
        <w:ind w:right="-142"/>
        <w:jc w:val="center"/>
        <w:rPr>
          <w:color w:val="404040" w:themeColor="text1" w:themeTint="BF"/>
          <w:sz w:val="32"/>
          <w:szCs w:val="28"/>
        </w:rPr>
      </w:pPr>
    </w:p>
    <w:p w:rsidR="009164DE" w:rsidRPr="00176FE8" w:rsidRDefault="009164DE" w:rsidP="009164DE">
      <w:pPr>
        <w:spacing w:after="0"/>
        <w:ind w:right="-142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spacing w:after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9164DE" w:rsidRPr="00176FE8" w:rsidRDefault="009164DE" w:rsidP="009164DE">
      <w:pPr>
        <w:spacing w:after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spacing w:after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соответствии  с Федеральным  законом  от 19.07.2018 г. № 222-ФЗ «О внесении  изменений в Бюджетный  кодекс   Российской  Федерации и статью 4 Федерального  закона   «О внесении  изменений  в Бюджетный  кодекс Российской  Федерации и  признании  утратившими  силу   отдельных  положений законодательных актов Российской Федерации», постановлением    Правительства Российской  Федерации от 24.10.2018 г. № 1268 «Об  утверждении  общих  требований  к установлению  случаев и условий   продления срока исполнения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бюджетной меры принуждения», администрация С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реднеургальского 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сельского поселения</w:t>
      </w:r>
    </w:p>
    <w:p w:rsidR="009164DE" w:rsidRPr="00176FE8" w:rsidRDefault="009164DE" w:rsidP="009164DE">
      <w:pPr>
        <w:spacing w:after="0" w:line="240" w:lineRule="auto"/>
        <w:rPr>
          <w:rFonts w:cs="Times New Roman"/>
          <w:color w:val="404040" w:themeColor="text1" w:themeTint="BF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ПОСТАНОВЛЯЕТ:</w:t>
      </w:r>
    </w:p>
    <w:p w:rsidR="009164DE" w:rsidRPr="00176FE8" w:rsidRDefault="009164DE" w:rsidP="00916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Утвердить Порядок исполнения решения о применении бюджетных мер принуждения.</w:t>
      </w:r>
    </w:p>
    <w:p w:rsidR="009164DE" w:rsidRPr="00176FE8" w:rsidRDefault="009164DE" w:rsidP="00916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 за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</w:p>
    <w:p w:rsidR="009164DE" w:rsidRPr="00176FE8" w:rsidRDefault="009164DE" w:rsidP="00916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164DE" w:rsidRDefault="009164DE" w:rsidP="009164DE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tabs>
          <w:tab w:val="num" w:pos="1080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EA7FF1">
      <w:pPr>
        <w:tabs>
          <w:tab w:val="num" w:pos="1080"/>
          <w:tab w:val="left" w:pos="5700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Глава сельского поселения 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П.С.Захарченко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</w:t>
      </w:r>
      <w:bookmarkStart w:id="0" w:name="_GoBack"/>
      <w:bookmarkEnd w:id="0"/>
    </w:p>
    <w:p w:rsidR="009164DE" w:rsidRPr="00176FE8" w:rsidRDefault="009164DE" w:rsidP="009164DE">
      <w:pPr>
        <w:tabs>
          <w:tab w:val="num" w:pos="1080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Default="009164DE" w:rsidP="009164DE">
      <w:pPr>
        <w:tabs>
          <w:tab w:val="num" w:pos="1080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ab/>
      </w:r>
    </w:p>
    <w:p w:rsidR="009164DE" w:rsidRDefault="009164DE" w:rsidP="009164DE">
      <w:pPr>
        <w:autoSpaceDE w:val="0"/>
        <w:autoSpaceDN w:val="0"/>
        <w:adjustRightInd w:val="0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autoSpaceDE w:val="0"/>
        <w:autoSpaceDN w:val="0"/>
        <w:adjustRightInd w:val="0"/>
        <w:spacing w:after="0" w:line="240" w:lineRule="exac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9164DE" w:rsidRDefault="004B702A" w:rsidP="004B702A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ПА00014</w:t>
      </w:r>
    </w:p>
    <w:p w:rsidR="009164DE" w:rsidRDefault="009164DE" w:rsidP="009164DE">
      <w:pPr>
        <w:autoSpaceDE w:val="0"/>
        <w:autoSpaceDN w:val="0"/>
        <w:adjustRightInd w:val="0"/>
        <w:spacing w:after="0" w:line="240" w:lineRule="exac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autoSpaceDE w:val="0"/>
        <w:autoSpaceDN w:val="0"/>
        <w:adjustRightInd w:val="0"/>
        <w:spacing w:after="0" w:line="240" w:lineRule="exac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autoSpaceDE w:val="0"/>
        <w:autoSpaceDN w:val="0"/>
        <w:adjustRightInd w:val="0"/>
        <w:spacing w:after="0" w:line="240" w:lineRule="exac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autoSpaceDE w:val="0"/>
        <w:autoSpaceDN w:val="0"/>
        <w:adjustRightInd w:val="0"/>
        <w:spacing w:after="0" w:line="240" w:lineRule="exac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9164DE" w:rsidRDefault="009164DE" w:rsidP="009164DE">
      <w:pPr>
        <w:autoSpaceDE w:val="0"/>
        <w:autoSpaceDN w:val="0"/>
        <w:adjustRightInd w:val="0"/>
        <w:spacing w:after="0" w:line="240" w:lineRule="exact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spacing w:after="0" w:line="240" w:lineRule="exact"/>
        <w:ind w:right="-142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УТВЕРЖДЕНО</w:t>
      </w:r>
    </w:p>
    <w:p w:rsidR="009164DE" w:rsidRPr="00176FE8" w:rsidRDefault="009164DE" w:rsidP="009164DE">
      <w:pPr>
        <w:autoSpaceDE w:val="0"/>
        <w:autoSpaceDN w:val="0"/>
        <w:adjustRightInd w:val="0"/>
        <w:spacing w:after="0" w:line="240" w:lineRule="exact"/>
        <w:ind w:right="-142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постановлением администрации</w:t>
      </w:r>
    </w:p>
    <w:p w:rsidR="009164DE" w:rsidRPr="00176FE8" w:rsidRDefault="009164DE" w:rsidP="009164DE">
      <w:pPr>
        <w:autoSpaceDE w:val="0"/>
        <w:autoSpaceDN w:val="0"/>
        <w:adjustRightInd w:val="0"/>
        <w:spacing w:after="0" w:line="240" w:lineRule="exact"/>
        <w:ind w:right="-142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реднеургальского 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сельского поселения</w:t>
      </w:r>
    </w:p>
    <w:p w:rsidR="009164DE" w:rsidRPr="00176FE8" w:rsidRDefault="009164DE" w:rsidP="009164DE">
      <w:pPr>
        <w:autoSpaceDE w:val="0"/>
        <w:autoSpaceDN w:val="0"/>
        <w:adjustRightInd w:val="0"/>
        <w:spacing w:after="0" w:line="240" w:lineRule="exact"/>
        <w:ind w:right="-142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 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05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.03.2021 № 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14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ind w:right="-142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Порядок </w:t>
      </w:r>
    </w:p>
    <w:p w:rsidR="009164DE" w:rsidRPr="00176FE8" w:rsidRDefault="009164DE" w:rsidP="009164DE">
      <w:pPr>
        <w:ind w:right="-142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исполнения решения о применении бюджетных мер принуждения</w:t>
      </w:r>
    </w:p>
    <w:p w:rsidR="009164DE" w:rsidRPr="00176FE8" w:rsidRDefault="009164DE" w:rsidP="009164DE">
      <w:pPr>
        <w:pStyle w:val="a3"/>
        <w:widowControl w:val="0"/>
        <w:autoSpaceDE w:val="0"/>
        <w:autoSpaceDN w:val="0"/>
        <w:adjustRightInd w:val="0"/>
        <w:ind w:left="0" w:right="-142"/>
        <w:jc w:val="center"/>
        <w:rPr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42" w:firstLine="0"/>
        <w:jc w:val="center"/>
        <w:rPr>
          <w:color w:val="404040" w:themeColor="text1" w:themeTint="BF"/>
          <w:sz w:val="28"/>
          <w:szCs w:val="28"/>
        </w:rPr>
      </w:pPr>
      <w:r w:rsidRPr="00176FE8">
        <w:rPr>
          <w:b/>
          <w:bCs/>
          <w:color w:val="404040" w:themeColor="text1" w:themeTint="BF"/>
          <w:sz w:val="28"/>
          <w:szCs w:val="28"/>
        </w:rPr>
        <w:t>Общие положения</w:t>
      </w:r>
    </w:p>
    <w:p w:rsidR="009164DE" w:rsidRPr="00176FE8" w:rsidRDefault="009164DE" w:rsidP="009164DE">
      <w:pPr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1.2.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реднеургальского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Среднеургальского 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сельского поселения (далее также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нецелевое использование бюджетных средств;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 возврат либо несвоевременный возврат бюджетного кредита;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- не перечисление либо несвоевременное перечисление платы за пользование бюджетным кредитом;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нарушение условий предоставления бюджетного кредита;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нарушение условий предоставления межбюджетных трансфертов;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1.4. Нецелевым использованием бюджетных средств бюджета С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реднеургальского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С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реднеургальского 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9164DE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1.6.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Главный распорядитель средств бюджета С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реднеургальского 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реднеургальского</w:t>
      </w:r>
      <w:proofErr w:type="spell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факте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6F5B7D" w:rsidRDefault="009164DE" w:rsidP="009164D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42" w:firstLine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176FE8">
        <w:rPr>
          <w:b/>
          <w:bCs/>
          <w:color w:val="404040" w:themeColor="text1" w:themeTint="BF"/>
          <w:sz w:val="28"/>
          <w:szCs w:val="28"/>
        </w:rPr>
        <w:t>Бюджетные меры принуждения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имеющий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превышения предельных значений дефицита бюджета С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реднеургальского 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сельского поселения, установленных пунктом 3 статьи 92.1 БК РФ, в размере суммы средств, превышающих предельные значения дефицита бюджета С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реднеургальского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сельского поселения;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превышения предельных значений дефицита бюджета С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реднеургальского 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сельского поселения, установленных пунктом 3 статьи 92.1 БК РФ, в размере суммы средств, превышающих предельные значения дефицита бюджета С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реднеургальского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сельского поселения;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9164DE" w:rsidRPr="00176FE8" w:rsidRDefault="009164DE" w:rsidP="009164DE">
      <w:pPr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6F5B7D" w:rsidRDefault="009164DE" w:rsidP="009164D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42" w:firstLine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176FE8">
        <w:rPr>
          <w:b/>
          <w:bCs/>
          <w:color w:val="404040" w:themeColor="text1" w:themeTint="BF"/>
          <w:sz w:val="28"/>
          <w:szCs w:val="28"/>
        </w:rPr>
        <w:t>Порядок принятия и исполнения решения о</w:t>
      </w:r>
      <w:r>
        <w:rPr>
          <w:b/>
          <w:bCs/>
          <w:color w:val="404040" w:themeColor="text1" w:themeTint="BF"/>
          <w:sz w:val="28"/>
          <w:szCs w:val="28"/>
        </w:rPr>
        <w:t xml:space="preserve"> </w:t>
      </w:r>
      <w:r w:rsidRPr="006F5B7D">
        <w:rPr>
          <w:b/>
          <w:bCs/>
          <w:color w:val="404040" w:themeColor="text1" w:themeTint="BF"/>
          <w:sz w:val="28"/>
          <w:szCs w:val="28"/>
        </w:rPr>
        <w:t>применении бюджетных мер принуждения</w:t>
      </w:r>
    </w:p>
    <w:p w:rsidR="009164DE" w:rsidRPr="00176FE8" w:rsidRDefault="009164DE" w:rsidP="009164DE">
      <w:pPr>
        <w:ind w:right="-142"/>
        <w:jc w:val="center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3.1.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муниципального финансового контроля и объектам контроля.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3.5. На основании уведомлений о применении бюджетных мер принуждения готовится  решение о применении бюджетной меры 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принуждения в форме распоряжения по форме  согласно приложению № 3 к настоящему порядку.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незаконным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3.10.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С</w:t>
      </w:r>
      <w:r w:rsidR="00EA7FF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реднеургальского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3.12</w:t>
      </w:r>
      <w:bookmarkStart w:id="1" w:name="dst3763"/>
      <w:bookmarkEnd w:id="1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9164DE" w:rsidRPr="00176FE8" w:rsidRDefault="009164DE" w:rsidP="009164DE">
      <w:pPr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42" w:firstLine="0"/>
        <w:jc w:val="center"/>
        <w:rPr>
          <w:b/>
          <w:color w:val="404040" w:themeColor="text1" w:themeTint="BF"/>
          <w:sz w:val="28"/>
          <w:szCs w:val="28"/>
        </w:rPr>
      </w:pPr>
      <w:r w:rsidRPr="00176FE8">
        <w:rPr>
          <w:b/>
          <w:color w:val="404040" w:themeColor="text1" w:themeTint="BF"/>
          <w:sz w:val="28"/>
          <w:szCs w:val="28"/>
        </w:rPr>
        <w:lastRenderedPageBreak/>
        <w:t>Случаи и условия продления исполнения бюджетной меры принуждения</w:t>
      </w:r>
    </w:p>
    <w:p w:rsidR="009164DE" w:rsidRPr="00176FE8" w:rsidRDefault="009164DE" w:rsidP="009164DE">
      <w:pPr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определения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случая продления исполнения бюджетной меры принуждения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согласованию с соответствующим финансовым органом и включающего положения: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заключаемым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софинансирования</w:t>
      </w:r>
      <w:proofErr w:type="spell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164DE" w:rsidRPr="00176FE8" w:rsidRDefault="009164DE" w:rsidP="009164DE">
      <w:pPr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текущем финансовом году;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софинансирования</w:t>
      </w:r>
      <w:proofErr w:type="spell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</w:t>
      </w:r>
      <w:proofErr w:type="spell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4.3.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</w:t>
      </w: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принуждения более одного года со дня принятия решения о применении бюджетной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меры принуждения.</w:t>
      </w:r>
    </w:p>
    <w:p w:rsidR="009164DE" w:rsidRPr="00176FE8" w:rsidRDefault="009164DE" w:rsidP="009164DE">
      <w:pPr>
        <w:ind w:right="-142"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4.4.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Default="009164DE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Default="009164DE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A7FF1" w:rsidRDefault="00EA7FF1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A7FF1" w:rsidRDefault="00EA7FF1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A7FF1" w:rsidRDefault="00EA7FF1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A7FF1" w:rsidRDefault="00EA7FF1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Default="009164DE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Приложение № 1</w:t>
      </w:r>
    </w:p>
    <w:p w:rsidR="009164DE" w:rsidRPr="00176FE8" w:rsidRDefault="009164DE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Порядку исполнения решения о применении бюджетных мер принуждения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УВЕДОМЛЕНИЕ №___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 применении бюджетных мер принуждения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 _________________20___ г.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(полное наименование объекта контроля)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установлено:_____________________________________________________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9164DE" w:rsidRPr="00176FE8" w:rsidRDefault="009164DE" w:rsidP="009164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 w:firstLine="36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Взыскать средства бюджета поселения в сумме 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left="426" w:right="-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(цифрами и прописью)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бесспорном порядке со счета №__________________________________________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                 (реквизиты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счета получателя средств бюджета поселения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___________________________________________________________________________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БИК ___________________________, ИНН_________________________,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Юридический адрес:___________________________________________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                 (Индекс, почтовый адрес)</w:t>
      </w:r>
    </w:p>
    <w:p w:rsidR="009164DE" w:rsidRPr="00176FE8" w:rsidRDefault="009164DE" w:rsidP="009164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(наименование получателя межбюджетных трансфертов)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сумме_______________________________________________________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(цифрами и прописью)</w:t>
      </w:r>
    </w:p>
    <w:p w:rsidR="009164DE" w:rsidRPr="00176FE8" w:rsidRDefault="009164DE" w:rsidP="009164DE">
      <w:pPr>
        <w:autoSpaceDE w:val="0"/>
        <w:autoSpaceDN w:val="0"/>
        <w:adjustRightInd w:val="0"/>
        <w:ind w:right="-142" w:firstLine="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(наименование получателя межбюджетных трансфертов)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сумме_______________________________________________________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(цифрами и прописью)</w:t>
      </w:r>
    </w:p>
    <w:p w:rsidR="009164DE" w:rsidRPr="00176FE8" w:rsidRDefault="009164DE" w:rsidP="009164DE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9164DE" w:rsidRPr="00176FE8" w:rsidRDefault="009164DE" w:rsidP="009164DE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 (Ф.И.О.) _________________(подпись)</w:t>
      </w:r>
    </w:p>
    <w:p w:rsidR="009164DE" w:rsidRPr="00176FE8" w:rsidRDefault="009164DE" w:rsidP="009164DE">
      <w:pPr>
        <w:autoSpaceDE w:val="0"/>
        <w:autoSpaceDN w:val="0"/>
        <w:adjustRightInd w:val="0"/>
        <w:ind w:left="5103"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left="5103"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Default="009164DE" w:rsidP="009164DE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A7FF1" w:rsidRPr="00176FE8" w:rsidRDefault="00EA7FF1" w:rsidP="009164DE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Приложение № 2</w:t>
      </w:r>
    </w:p>
    <w:p w:rsidR="009164DE" w:rsidRPr="00176FE8" w:rsidRDefault="009164DE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Порядку исполнения решения о применении бюджетных мер принуждения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ЖУРНАЛ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РЕГИСТРАЦИИ УВЕДОМЛЕНИЙ 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 ПРИМЕНЕНИИ БЮДЖЕТНЫХ МЕР ПРИНУЖДЕНИЯ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"/>
        <w:gridCol w:w="1202"/>
        <w:gridCol w:w="1289"/>
        <w:gridCol w:w="1459"/>
        <w:gridCol w:w="1202"/>
        <w:gridCol w:w="1202"/>
        <w:gridCol w:w="1554"/>
        <w:gridCol w:w="1111"/>
      </w:tblGrid>
      <w:tr w:rsidR="009164DE" w:rsidRPr="00176FE8" w:rsidTr="00EA7FF1">
        <w:tc>
          <w:tcPr>
            <w:tcW w:w="444" w:type="dxa"/>
            <w:vMerge w:val="restart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proofErr w:type="gramEnd"/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/П</w:t>
            </w:r>
          </w:p>
        </w:tc>
        <w:tc>
          <w:tcPr>
            <w:tcW w:w="1202" w:type="dxa"/>
            <w:vMerge w:val="restart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9" w:type="dxa"/>
            <w:vMerge w:val="restart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459" w:type="dxa"/>
            <w:vMerge w:val="restart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</w:t>
            </w:r>
          </w:p>
        </w:tc>
        <w:tc>
          <w:tcPr>
            <w:tcW w:w="1202" w:type="dxa"/>
            <w:vMerge w:val="restart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56" w:type="dxa"/>
            <w:gridSpan w:val="2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Отметка об исполнении</w:t>
            </w:r>
          </w:p>
        </w:tc>
        <w:tc>
          <w:tcPr>
            <w:tcW w:w="1111" w:type="dxa"/>
            <w:vMerge w:val="restart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Примечание</w:t>
            </w:r>
          </w:p>
        </w:tc>
      </w:tr>
      <w:tr w:rsidR="009164DE" w:rsidRPr="00176FE8" w:rsidTr="00EA7FF1">
        <w:trPr>
          <w:trHeight w:val="6427"/>
        </w:trPr>
        <w:tc>
          <w:tcPr>
            <w:tcW w:w="0" w:type="auto"/>
            <w:vMerge/>
            <w:vAlign w:val="center"/>
          </w:tcPr>
          <w:p w:rsidR="009164DE" w:rsidRPr="00176FE8" w:rsidRDefault="009164DE" w:rsidP="0022528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164DE" w:rsidRPr="00176FE8" w:rsidRDefault="009164DE" w:rsidP="0022528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164DE" w:rsidRPr="00176FE8" w:rsidRDefault="009164DE" w:rsidP="0022528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164DE" w:rsidRPr="00176FE8" w:rsidRDefault="009164DE" w:rsidP="0022528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164DE" w:rsidRPr="00176FE8" w:rsidRDefault="009164DE" w:rsidP="0022528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554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9164DE" w:rsidRPr="00176FE8" w:rsidRDefault="009164DE" w:rsidP="0022528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9164DE" w:rsidRPr="00176FE8" w:rsidTr="00EA7FF1">
        <w:tc>
          <w:tcPr>
            <w:tcW w:w="444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1554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76FE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</w:tr>
      <w:tr w:rsidR="009164DE" w:rsidRPr="00176FE8" w:rsidTr="00EA7FF1">
        <w:tc>
          <w:tcPr>
            <w:tcW w:w="444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89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59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4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1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9164DE" w:rsidRPr="00176FE8" w:rsidTr="00EA7FF1">
        <w:tc>
          <w:tcPr>
            <w:tcW w:w="444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89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59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4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1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9164DE" w:rsidRPr="00176FE8" w:rsidTr="00EA7FF1">
        <w:tc>
          <w:tcPr>
            <w:tcW w:w="444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89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59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2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4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1" w:type="dxa"/>
          </w:tcPr>
          <w:p w:rsidR="009164DE" w:rsidRPr="00176FE8" w:rsidRDefault="009164DE" w:rsidP="0022528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9164DE" w:rsidRDefault="009164DE" w:rsidP="00EA7FF1">
      <w:pPr>
        <w:autoSpaceDE w:val="0"/>
        <w:autoSpaceDN w:val="0"/>
        <w:adjustRightInd w:val="0"/>
        <w:spacing w:after="0" w:line="240" w:lineRule="exact"/>
        <w:ind w:right="-142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Default="009164DE" w:rsidP="00EA7FF1">
      <w:pPr>
        <w:autoSpaceDE w:val="0"/>
        <w:autoSpaceDN w:val="0"/>
        <w:adjustRightInd w:val="0"/>
        <w:spacing w:after="0" w:line="240" w:lineRule="exact"/>
        <w:ind w:right="-142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Default="009164DE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outlineLvl w:val="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Приложение № 3</w:t>
      </w:r>
    </w:p>
    <w:p w:rsidR="009164DE" w:rsidRPr="00176FE8" w:rsidRDefault="009164DE" w:rsidP="009164DE">
      <w:pPr>
        <w:autoSpaceDE w:val="0"/>
        <w:autoSpaceDN w:val="0"/>
        <w:adjustRightInd w:val="0"/>
        <w:spacing w:after="0" w:line="240" w:lineRule="exact"/>
        <w:ind w:left="5103" w:right="-142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Порядку исполнения решения о применении бюджетных мер принуждения</w:t>
      </w:r>
    </w:p>
    <w:p w:rsidR="009164DE" w:rsidRPr="00176FE8" w:rsidRDefault="009164DE" w:rsidP="009164DE">
      <w:pPr>
        <w:autoSpaceDE w:val="0"/>
        <w:autoSpaceDN w:val="0"/>
        <w:adjustRightInd w:val="0"/>
        <w:spacing w:line="240" w:lineRule="exact"/>
        <w:ind w:left="5103"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keepNext/>
        <w:ind w:right="-142"/>
        <w:jc w:val="center"/>
        <w:outlineLvl w:val="1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Администрация С</w:t>
      </w:r>
      <w:r w:rsidR="00EA7FF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реднеургальского</w:t>
      </w:r>
      <w:r w:rsidRPr="00176FE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сельского поселения</w:t>
      </w:r>
    </w:p>
    <w:p w:rsidR="009164DE" w:rsidRPr="00176FE8" w:rsidRDefault="009164DE" w:rsidP="009164DE">
      <w:pPr>
        <w:keepNext/>
        <w:ind w:right="-142"/>
        <w:jc w:val="center"/>
        <w:outlineLvl w:val="1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Верхнебуреинского муниципального района Хабаровского края</w:t>
      </w:r>
    </w:p>
    <w:p w:rsidR="009164DE" w:rsidRPr="00176FE8" w:rsidRDefault="009164DE" w:rsidP="009164DE">
      <w:pPr>
        <w:keepNext/>
        <w:ind w:right="-142"/>
        <w:jc w:val="center"/>
        <w:outlineLvl w:val="1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keepNext/>
        <w:ind w:right="-142"/>
        <w:jc w:val="center"/>
        <w:outlineLvl w:val="1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РАСПОРЯЖЕНИЕ</w:t>
      </w:r>
    </w:p>
    <w:p w:rsidR="009164DE" w:rsidRPr="00176FE8" w:rsidRDefault="009164DE" w:rsidP="009164DE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color w:val="404040" w:themeColor="text1" w:themeTint="BF"/>
          <w:kern w:val="32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kern w:val="32"/>
          <w:sz w:val="28"/>
          <w:szCs w:val="28"/>
        </w:rPr>
        <w:t>от________________ № ______</w:t>
      </w:r>
    </w:p>
    <w:p w:rsidR="009164DE" w:rsidRPr="00176FE8" w:rsidRDefault="009164DE" w:rsidP="009164DE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color w:val="404040" w:themeColor="text1" w:themeTint="BF"/>
          <w:kern w:val="32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«О  применении мер принуждения к нарушителю</w:t>
      </w:r>
    </w:p>
    <w:p w:rsidR="009164DE" w:rsidRPr="00176FE8" w:rsidRDefault="009164DE" w:rsidP="009164DE">
      <w:pPr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бюджетного законодательства»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На основании уведомления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_________№ __________ о применении</w:t>
      </w:r>
    </w:p>
    <w:p w:rsidR="009164DE" w:rsidRPr="00176FE8" w:rsidRDefault="009164DE" w:rsidP="009164DE">
      <w:p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бюджетных  мер  принуждения,  в  соответствии  со  </w:t>
      </w:r>
      <w:hyperlink r:id="rId9" w:history="1">
        <w:r w:rsidRPr="00176FE8">
          <w:rPr>
            <w:rStyle w:val="a4"/>
            <w:rFonts w:ascii="Times New Roman" w:hAnsi="Times New Roman" w:cs="Times New Roman"/>
            <w:color w:val="404040" w:themeColor="text1" w:themeTint="BF"/>
            <w:sz w:val="28"/>
            <w:szCs w:val="28"/>
          </w:rPr>
          <w:t>статьями  306.2</w:t>
        </w:r>
      </w:hyperlink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и </w:t>
      </w:r>
      <w:hyperlink r:id="rId10" w:history="1">
        <w:r w:rsidRPr="00176FE8">
          <w:rPr>
            <w:rStyle w:val="a4"/>
            <w:rFonts w:ascii="Times New Roman" w:hAnsi="Times New Roman" w:cs="Times New Roman"/>
            <w:color w:val="404040" w:themeColor="text1" w:themeTint="BF"/>
            <w:sz w:val="28"/>
            <w:szCs w:val="28"/>
          </w:rPr>
          <w:t>306.3</w:t>
        </w:r>
      </w:hyperlink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Бюджетного кодекса Российской Федерации 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СЧИТАЮ НЕОБХОДИМЫМ: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1. Применить </w:t>
      </w:r>
      <w:proofErr w:type="gramStart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</w:t>
      </w:r>
      <w:proofErr w:type="gramEnd"/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___________________________________________ меру бюджетногопринуждения_____________________________________________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___________________________________________________________________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164DE" w:rsidRPr="00176FE8" w:rsidRDefault="009164DE" w:rsidP="009164DE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Глава сельского поселения  ____________   _________________________</w:t>
      </w:r>
    </w:p>
    <w:p w:rsidR="009164DE" w:rsidRPr="00176FE8" w:rsidRDefault="009164DE" w:rsidP="009164DE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76F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(подпись)    (расшифровка подписи)</w:t>
      </w:r>
      <w:bookmarkStart w:id="2" w:name="Par97"/>
      <w:bookmarkEnd w:id="2"/>
    </w:p>
    <w:p w:rsidR="00305758" w:rsidRDefault="00630376" w:rsidP="009164DE">
      <w:pPr>
        <w:tabs>
          <w:tab w:val="left" w:pos="2670"/>
        </w:tabs>
      </w:pPr>
    </w:p>
    <w:sectPr w:rsidR="00305758" w:rsidSect="00D3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76" w:rsidRDefault="00630376" w:rsidP="00EA7FF1">
      <w:pPr>
        <w:spacing w:after="0" w:line="240" w:lineRule="auto"/>
      </w:pPr>
      <w:r>
        <w:separator/>
      </w:r>
    </w:p>
  </w:endnote>
  <w:endnote w:type="continuationSeparator" w:id="0">
    <w:p w:rsidR="00630376" w:rsidRDefault="00630376" w:rsidP="00EA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76" w:rsidRDefault="00630376" w:rsidP="00EA7FF1">
      <w:pPr>
        <w:spacing w:after="0" w:line="240" w:lineRule="auto"/>
      </w:pPr>
      <w:r>
        <w:separator/>
      </w:r>
    </w:p>
  </w:footnote>
  <w:footnote w:type="continuationSeparator" w:id="0">
    <w:p w:rsidR="00630376" w:rsidRDefault="00630376" w:rsidP="00EA7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DE"/>
    <w:rsid w:val="0049273D"/>
    <w:rsid w:val="004B702A"/>
    <w:rsid w:val="00630376"/>
    <w:rsid w:val="00630383"/>
    <w:rsid w:val="007561A6"/>
    <w:rsid w:val="009164DE"/>
    <w:rsid w:val="00D35BEC"/>
    <w:rsid w:val="00E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DE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4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16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164D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16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9164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4D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FF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7F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3FF4FF70E76C605842517374E50F8EF373489A350B9FE250693C1822FD83B437B94A4DC3AZ1y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FF4FF70E76C605842517374E50F8EF373489A350B9FE250693C1822FD83B437B94A4DC38Z1y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C8BB7-275C-499F-A898-3E6183C2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4149</Words>
  <Characters>23652</Characters>
  <Application>Microsoft Office Word</Application>
  <DocSecurity>0</DocSecurity>
  <Lines>197</Lines>
  <Paragraphs>55</Paragraphs>
  <ScaleCrop>false</ScaleCrop>
  <Company/>
  <LinksUpToDate>false</LinksUpToDate>
  <CharactersWithSpaces>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2021-03-30T00:22:00Z</dcterms:created>
  <dcterms:modified xsi:type="dcterms:W3CDTF">2021-03-30T00:30:00Z</dcterms:modified>
</cp:coreProperties>
</file>